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09" w:rsidRDefault="00F33A53" w:rsidP="00A44A09">
      <w:pPr>
        <w:jc w:val="center"/>
        <w:rPr>
          <w:rFonts w:hAnsi="HG丸ｺﾞｼｯｸM-PRO"/>
        </w:rPr>
      </w:pPr>
      <w:r w:rsidRPr="00A44A09">
        <w:rPr>
          <w:rFonts w:hAnsi="HG丸ｺﾞｼｯｸM-PRO" w:hint="eastAsia"/>
        </w:rPr>
        <w:t>まん延防止等重点措置</w:t>
      </w:r>
      <w:r>
        <w:rPr>
          <w:rFonts w:hAnsi="HG丸ｺﾞｼｯｸM-PRO" w:hint="eastAsia"/>
        </w:rPr>
        <w:t>が</w:t>
      </w:r>
      <w:r w:rsidRPr="00A44A09">
        <w:rPr>
          <w:rFonts w:hAnsi="HG丸ｺﾞｼｯｸM-PRO" w:hint="eastAsia"/>
        </w:rPr>
        <w:t>適用された場合</w:t>
      </w:r>
      <w:r w:rsidR="0081798D">
        <w:rPr>
          <w:rFonts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-100330</wp:posOffset>
                </wp:positionV>
                <wp:extent cx="5810250" cy="7620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5810250" cy="762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29253A" id="角丸四角形 1" o:spid="_x0000_s1026" style="position:absolute;left:0;text-align:left;margin-left:-2.65pt;margin-top:-7.9pt;width:45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" filled="f" strokecolor="black [3213]" strokeweight="2.25pt">
                <v:stroke joinstyle="miter"/>
              </v:roundrect>
            </w:pict>
          </mc:Fallback>
        </mc:AlternateContent>
      </w:r>
      <w:r>
        <w:rPr>
          <w:rFonts w:hAnsi="HG丸ｺﾞｼｯｸM-PRO" w:hint="eastAsia"/>
        </w:rPr>
        <w:t>の</w:t>
      </w:r>
    </w:p>
    <w:p w:rsidR="001C7CF2" w:rsidRPr="001C7CF2" w:rsidRDefault="00F33A53" w:rsidP="00A44A09">
      <w:pPr>
        <w:jc w:val="center"/>
        <w:rPr>
          <w:rFonts w:hAnsi="HG丸ｺﾞｼｯｸM-PRO"/>
        </w:rPr>
      </w:pPr>
      <w:r w:rsidRPr="00A44A09">
        <w:rPr>
          <w:rFonts w:hAnsi="HG丸ｺﾞｼｯｸM-PRO" w:hint="eastAsia"/>
        </w:rPr>
        <w:t>県内の雇用調整助成金の</w:t>
      </w:r>
      <w:r>
        <w:rPr>
          <w:rFonts w:hAnsi="HG丸ｺﾞｼｯｸM-PRO" w:hint="eastAsia"/>
        </w:rPr>
        <w:t>特例の</w:t>
      </w:r>
      <w:r w:rsidRPr="00A44A09">
        <w:rPr>
          <w:rFonts w:hAnsi="HG丸ｺﾞｼｯｸM-PRO" w:hint="eastAsia"/>
        </w:rPr>
        <w:t>取扱いについて</w:t>
      </w:r>
    </w:p>
    <w:p w:rsidR="00A44A09" w:rsidRPr="00F33A53" w:rsidRDefault="00A44A09" w:rsidP="00A44A09"/>
    <w:p w:rsidR="00A44A09" w:rsidRPr="00550E74" w:rsidRDefault="00A44A09" w:rsidP="0081798D">
      <w:pPr>
        <w:ind w:firstLineChars="100" w:firstLine="320"/>
      </w:pPr>
      <w:r w:rsidRPr="00550E74">
        <w:rPr>
          <w:rFonts w:hint="eastAsia"/>
        </w:rPr>
        <w:t>まん延防止等重点措置の対象区域において知事による営業時間の短縮等の要請等に協力する企業について、雇用調整助成金の助成率を最大</w:t>
      </w:r>
      <w:r w:rsidRPr="00550E74">
        <w:t>10／10に引き上げる特例が適用になります。</w:t>
      </w:r>
    </w:p>
    <w:p w:rsidR="00A44A09" w:rsidRDefault="00A44A09" w:rsidP="00A44A09"/>
    <w:p w:rsidR="00D35B07" w:rsidRDefault="00A44A09" w:rsidP="00957AF6">
      <w:pPr>
        <w:rPr>
          <w:rFonts w:hint="eastAsia"/>
        </w:rPr>
      </w:pPr>
      <w:r>
        <w:t>○</w:t>
      </w:r>
      <w:r>
        <w:t>助成率の</w:t>
      </w:r>
      <w:r>
        <w:rPr>
          <w:rFonts w:hint="eastAsia"/>
        </w:rPr>
        <w:t>引き上げ</w:t>
      </w:r>
    </w:p>
    <w:tbl>
      <w:tblPr>
        <w:tblStyle w:val="a3"/>
        <w:tblW w:w="0" w:type="auto"/>
        <w:tblInd w:w="279" w:type="dxa"/>
        <w:tblLook w:val="04A0" w:firstRow="1" w:lastRow="0" w:firstColumn="1" w:lastColumn="0" w:noHBand="0" w:noVBand="1"/>
      </w:tblPr>
      <w:tblGrid>
        <w:gridCol w:w="1134"/>
        <w:gridCol w:w="2268"/>
        <w:gridCol w:w="2410"/>
        <w:gridCol w:w="2969"/>
      </w:tblGrid>
      <w:tr w:rsidR="0081798D" w:rsidRPr="0081798D" w:rsidTr="0081798D">
        <w:tc>
          <w:tcPr>
            <w:tcW w:w="1134" w:type="dxa"/>
          </w:tcPr>
          <w:p w:rsidR="0081798D" w:rsidRPr="0081798D" w:rsidRDefault="0081798D" w:rsidP="0081798D">
            <w:pPr>
              <w:spacing w:line="240" w:lineRule="exact"/>
              <w:jc w:val="center"/>
              <w:rPr>
                <w:sz w:val="20"/>
              </w:rPr>
            </w:pPr>
          </w:p>
        </w:tc>
        <w:tc>
          <w:tcPr>
            <w:tcW w:w="2268" w:type="dxa"/>
          </w:tcPr>
          <w:p w:rsidR="0081798D" w:rsidRPr="0081798D" w:rsidRDefault="0081798D" w:rsidP="0081798D">
            <w:pPr>
              <w:spacing w:line="240" w:lineRule="exact"/>
              <w:jc w:val="center"/>
              <w:rPr>
                <w:sz w:val="20"/>
              </w:rPr>
            </w:pPr>
            <w:r w:rsidRPr="0081798D">
              <w:rPr>
                <w:rFonts w:hint="eastAsia"/>
                <w:sz w:val="20"/>
              </w:rPr>
              <w:t>助成率</w:t>
            </w:r>
          </w:p>
          <w:p w:rsidR="0081798D" w:rsidRPr="0081798D" w:rsidRDefault="0081798D" w:rsidP="0081798D">
            <w:pPr>
              <w:spacing w:line="240" w:lineRule="exact"/>
              <w:jc w:val="center"/>
              <w:rPr>
                <w:sz w:val="20"/>
              </w:rPr>
            </w:pPr>
            <w:r w:rsidRPr="0081798D">
              <w:rPr>
                <w:rFonts w:hint="eastAsia"/>
                <w:sz w:val="20"/>
              </w:rPr>
              <w:t>（解雇等がある場合）</w:t>
            </w:r>
          </w:p>
        </w:tc>
        <w:tc>
          <w:tcPr>
            <w:tcW w:w="2410" w:type="dxa"/>
          </w:tcPr>
          <w:p w:rsidR="0081798D" w:rsidRPr="0081798D" w:rsidRDefault="0081798D" w:rsidP="0081798D">
            <w:pPr>
              <w:spacing w:line="240" w:lineRule="exact"/>
              <w:jc w:val="center"/>
              <w:rPr>
                <w:sz w:val="20"/>
              </w:rPr>
            </w:pPr>
            <w:r w:rsidRPr="0081798D">
              <w:rPr>
                <w:rFonts w:hint="eastAsia"/>
                <w:sz w:val="20"/>
              </w:rPr>
              <w:t>助成率</w:t>
            </w:r>
          </w:p>
          <w:p w:rsidR="0081798D" w:rsidRPr="0081798D" w:rsidRDefault="0081798D" w:rsidP="0081798D">
            <w:pPr>
              <w:spacing w:line="240" w:lineRule="exact"/>
              <w:jc w:val="center"/>
              <w:rPr>
                <w:sz w:val="20"/>
              </w:rPr>
            </w:pPr>
            <w:r w:rsidRPr="0081798D">
              <w:rPr>
                <w:rFonts w:hint="eastAsia"/>
                <w:sz w:val="20"/>
              </w:rPr>
              <w:t>（解雇等がない場合）</w:t>
            </w:r>
          </w:p>
        </w:tc>
        <w:tc>
          <w:tcPr>
            <w:tcW w:w="2969" w:type="dxa"/>
          </w:tcPr>
          <w:p w:rsidR="0081798D" w:rsidRPr="0081798D" w:rsidRDefault="0081798D" w:rsidP="0081798D">
            <w:pPr>
              <w:spacing w:line="240" w:lineRule="exact"/>
              <w:jc w:val="center"/>
              <w:rPr>
                <w:sz w:val="20"/>
              </w:rPr>
            </w:pPr>
            <w:r w:rsidRPr="0081798D">
              <w:rPr>
                <w:rFonts w:hint="eastAsia"/>
                <w:sz w:val="20"/>
              </w:rPr>
              <w:t>日額上限額</w:t>
            </w:r>
          </w:p>
        </w:tc>
      </w:tr>
      <w:tr w:rsidR="0081798D" w:rsidRPr="0081798D" w:rsidTr="0081798D">
        <w:tc>
          <w:tcPr>
            <w:tcW w:w="1134" w:type="dxa"/>
          </w:tcPr>
          <w:p w:rsidR="0081798D" w:rsidRPr="0081798D" w:rsidRDefault="0081798D" w:rsidP="0081798D">
            <w:pPr>
              <w:jc w:val="center"/>
              <w:rPr>
                <w:sz w:val="20"/>
              </w:rPr>
            </w:pPr>
            <w:r w:rsidRPr="0081798D">
              <w:rPr>
                <w:rFonts w:hint="eastAsia"/>
                <w:sz w:val="20"/>
              </w:rPr>
              <w:t>中小企業</w:t>
            </w:r>
          </w:p>
        </w:tc>
        <w:tc>
          <w:tcPr>
            <w:tcW w:w="2268" w:type="dxa"/>
          </w:tcPr>
          <w:p w:rsidR="0081798D" w:rsidRPr="0081798D" w:rsidRDefault="0081798D" w:rsidP="0081798D">
            <w:pPr>
              <w:jc w:val="center"/>
              <w:rPr>
                <w:sz w:val="20"/>
              </w:rPr>
            </w:pPr>
            <w:r w:rsidRPr="0081798D">
              <w:rPr>
                <w:rFonts w:hint="eastAsia"/>
                <w:sz w:val="20"/>
              </w:rPr>
              <w:t>4/5</w:t>
            </w:r>
          </w:p>
        </w:tc>
        <w:tc>
          <w:tcPr>
            <w:tcW w:w="2410" w:type="dxa"/>
          </w:tcPr>
          <w:p w:rsidR="0081798D" w:rsidRPr="0081798D" w:rsidRDefault="0081798D" w:rsidP="0081798D">
            <w:pPr>
              <w:jc w:val="center"/>
              <w:rPr>
                <w:sz w:val="20"/>
              </w:rPr>
            </w:pPr>
            <w:r w:rsidRPr="0081798D">
              <w:rPr>
                <w:rFonts w:hint="eastAsia"/>
                <w:sz w:val="20"/>
              </w:rPr>
              <w:t xml:space="preserve">9/10　→　</w:t>
            </w:r>
            <w:r w:rsidRPr="00626E41">
              <w:rPr>
                <w:rFonts w:hint="eastAsia"/>
                <w:b/>
                <w:sz w:val="20"/>
                <w:u w:val="single"/>
              </w:rPr>
              <w:t>10/10</w:t>
            </w:r>
          </w:p>
        </w:tc>
        <w:tc>
          <w:tcPr>
            <w:tcW w:w="2969" w:type="dxa"/>
          </w:tcPr>
          <w:p w:rsidR="0081798D" w:rsidRPr="0081798D" w:rsidRDefault="0081798D" w:rsidP="0081798D">
            <w:pPr>
              <w:jc w:val="center"/>
              <w:rPr>
                <w:sz w:val="20"/>
              </w:rPr>
            </w:pPr>
            <w:r w:rsidRPr="0081798D">
              <w:rPr>
                <w:rFonts w:hint="eastAsia"/>
                <w:sz w:val="20"/>
              </w:rPr>
              <w:t xml:space="preserve">13,500円　→　</w:t>
            </w:r>
            <w:r w:rsidRPr="00626E41">
              <w:rPr>
                <w:rFonts w:hint="eastAsia"/>
                <w:b/>
                <w:sz w:val="20"/>
                <w:u w:val="single"/>
              </w:rPr>
              <w:t>15,000円</w:t>
            </w:r>
          </w:p>
        </w:tc>
      </w:tr>
      <w:tr w:rsidR="0081798D" w:rsidRPr="0081798D" w:rsidTr="0081798D">
        <w:tc>
          <w:tcPr>
            <w:tcW w:w="1134" w:type="dxa"/>
          </w:tcPr>
          <w:p w:rsidR="0081798D" w:rsidRPr="0081798D" w:rsidRDefault="0081798D" w:rsidP="0081798D">
            <w:pPr>
              <w:jc w:val="center"/>
              <w:rPr>
                <w:sz w:val="20"/>
              </w:rPr>
            </w:pPr>
            <w:r w:rsidRPr="0081798D">
              <w:rPr>
                <w:rFonts w:hint="eastAsia"/>
                <w:sz w:val="20"/>
              </w:rPr>
              <w:t>大企業</w:t>
            </w:r>
          </w:p>
        </w:tc>
        <w:tc>
          <w:tcPr>
            <w:tcW w:w="2268" w:type="dxa"/>
          </w:tcPr>
          <w:p w:rsidR="0081798D" w:rsidRPr="0081798D" w:rsidRDefault="0081798D" w:rsidP="0081798D">
            <w:pPr>
              <w:jc w:val="center"/>
              <w:rPr>
                <w:sz w:val="20"/>
              </w:rPr>
            </w:pPr>
            <w:r w:rsidRPr="0081798D">
              <w:rPr>
                <w:rFonts w:hint="eastAsia"/>
                <w:sz w:val="20"/>
              </w:rPr>
              <w:t xml:space="preserve">2/3　→　</w:t>
            </w:r>
            <w:r w:rsidRPr="00CF3E83">
              <w:rPr>
                <w:rFonts w:hint="eastAsia"/>
                <w:sz w:val="20"/>
                <w:u w:val="single"/>
              </w:rPr>
              <w:t>4/5</w:t>
            </w:r>
          </w:p>
        </w:tc>
        <w:tc>
          <w:tcPr>
            <w:tcW w:w="2410" w:type="dxa"/>
          </w:tcPr>
          <w:p w:rsidR="0081798D" w:rsidRPr="0081798D" w:rsidRDefault="0081798D" w:rsidP="0081798D">
            <w:pPr>
              <w:jc w:val="center"/>
              <w:rPr>
                <w:sz w:val="20"/>
              </w:rPr>
            </w:pPr>
            <w:r w:rsidRPr="0081798D">
              <w:rPr>
                <w:rFonts w:hint="eastAsia"/>
                <w:sz w:val="20"/>
              </w:rPr>
              <w:t xml:space="preserve">3/4　→　</w:t>
            </w:r>
            <w:r w:rsidRPr="00C1566E">
              <w:rPr>
                <w:rFonts w:hint="eastAsia"/>
                <w:sz w:val="20"/>
                <w:u w:val="single"/>
              </w:rPr>
              <w:t>10/10</w:t>
            </w:r>
          </w:p>
        </w:tc>
        <w:tc>
          <w:tcPr>
            <w:tcW w:w="2969" w:type="dxa"/>
          </w:tcPr>
          <w:p w:rsidR="0081798D" w:rsidRPr="0081798D" w:rsidRDefault="0081798D" w:rsidP="0081798D">
            <w:pPr>
              <w:jc w:val="center"/>
              <w:rPr>
                <w:sz w:val="20"/>
              </w:rPr>
            </w:pPr>
            <w:r w:rsidRPr="0081798D">
              <w:rPr>
                <w:rFonts w:hint="eastAsia"/>
                <w:sz w:val="20"/>
              </w:rPr>
              <w:t xml:space="preserve">13,500円　→　</w:t>
            </w:r>
            <w:r w:rsidRPr="00C1566E">
              <w:rPr>
                <w:rFonts w:hint="eastAsia"/>
                <w:sz w:val="20"/>
                <w:u w:val="single"/>
              </w:rPr>
              <w:t>15,000円</w:t>
            </w:r>
          </w:p>
        </w:tc>
      </w:tr>
    </w:tbl>
    <w:p w:rsidR="00A44A09" w:rsidRDefault="00A44A09" w:rsidP="00A44A09"/>
    <w:p w:rsidR="00A44A09" w:rsidRDefault="00A44A09" w:rsidP="00A44A09">
      <w:r>
        <w:rPr>
          <w:rFonts w:hint="eastAsia"/>
        </w:rPr>
        <w:t>○特例の対象となる区域及び期間</w:t>
      </w:r>
    </w:p>
    <w:p w:rsidR="00C1566E" w:rsidRDefault="00C1566E" w:rsidP="00BD03DD">
      <w:pPr>
        <w:spacing w:beforeLines="50" w:before="217"/>
        <w:ind w:firstLineChars="100" w:firstLine="320"/>
      </w:pPr>
      <w:r>
        <w:rPr>
          <w:rFonts w:hint="eastAsia"/>
        </w:rPr>
        <w:t>区域：金沢市</w:t>
      </w:r>
    </w:p>
    <w:p w:rsidR="0081798D" w:rsidRDefault="00C1566E" w:rsidP="00BD03DD">
      <w:pPr>
        <w:spacing w:beforeLines="50" w:before="217"/>
        <w:ind w:firstLineChars="100" w:firstLine="320"/>
      </w:pPr>
      <w:r>
        <w:rPr>
          <w:rFonts w:hint="eastAsia"/>
        </w:rPr>
        <w:t>期間：</w:t>
      </w:r>
      <w:r w:rsidR="0081798D">
        <w:rPr>
          <w:rFonts w:hint="eastAsia"/>
        </w:rPr>
        <w:t>令和３年５月１６日～</w:t>
      </w:r>
      <w:r w:rsidR="00D60471">
        <w:rPr>
          <w:rFonts w:hint="eastAsia"/>
        </w:rPr>
        <w:t>６月３０日</w:t>
      </w:r>
    </w:p>
    <w:p w:rsidR="00A44059" w:rsidRDefault="00A44059" w:rsidP="00862F2D">
      <w:pPr>
        <w:spacing w:beforeLines="50" w:before="217"/>
        <w:ind w:firstLineChars="400" w:firstLine="1280"/>
      </w:pPr>
      <w:r>
        <w:rPr>
          <w:rFonts w:hint="eastAsia"/>
        </w:rPr>
        <w:t>※７月</w:t>
      </w:r>
      <w:r w:rsidR="00862F2D">
        <w:rPr>
          <w:rFonts w:hint="eastAsia"/>
        </w:rPr>
        <w:t>以降</w:t>
      </w:r>
      <w:r>
        <w:rPr>
          <w:rFonts w:hint="eastAsia"/>
        </w:rPr>
        <w:t>の</w:t>
      </w:r>
      <w:r w:rsidR="00862F2D">
        <w:rPr>
          <w:rFonts w:hint="eastAsia"/>
        </w:rPr>
        <w:t>特例については</w:t>
      </w:r>
      <w:r>
        <w:rPr>
          <w:rFonts w:hint="eastAsia"/>
        </w:rPr>
        <w:t>、今後、国において検討</w:t>
      </w:r>
    </w:p>
    <w:p w:rsidR="00BD03DD" w:rsidRPr="00862F2D" w:rsidRDefault="00BD03DD" w:rsidP="00A44A09"/>
    <w:p w:rsidR="00A44A09" w:rsidRDefault="00A44A09" w:rsidP="00A44A09">
      <w:r>
        <w:rPr>
          <w:rFonts w:hint="eastAsia"/>
        </w:rPr>
        <w:t>○対象となる休業等</w:t>
      </w:r>
    </w:p>
    <w:p w:rsidR="0081798D" w:rsidRDefault="00AB28FE" w:rsidP="00BD03DD">
      <w:pPr>
        <w:spacing w:beforeLines="50" w:before="217"/>
        <w:ind w:leftChars="100" w:left="320" w:firstLineChars="100" w:firstLine="320"/>
      </w:pPr>
      <w:r>
        <w:rPr>
          <w:rFonts w:hint="eastAsia"/>
        </w:rPr>
        <w:t>知事</w:t>
      </w:r>
      <w:r w:rsidR="00A0190C">
        <w:rPr>
          <w:rFonts w:hint="eastAsia"/>
        </w:rPr>
        <w:t>による営業時間短縮</w:t>
      </w:r>
      <w:r>
        <w:rPr>
          <w:rFonts w:hint="eastAsia"/>
        </w:rPr>
        <w:t>等の要請等を受け、</w:t>
      </w:r>
      <w:r w:rsidR="00950928">
        <w:rPr>
          <w:rFonts w:hint="eastAsia"/>
        </w:rPr>
        <w:t>金沢市内で</w:t>
      </w:r>
      <w:r w:rsidR="0081798D">
        <w:rPr>
          <w:rFonts w:hint="eastAsia"/>
        </w:rPr>
        <w:t>事業を行う飲食店等の事業主が、営業時間の短縮、</w:t>
      </w:r>
      <w:r w:rsidR="006F1A7C">
        <w:rPr>
          <w:rFonts w:hint="eastAsia"/>
        </w:rPr>
        <w:t>酒類</w:t>
      </w:r>
      <w:r w:rsidR="0081798D">
        <w:rPr>
          <w:rFonts w:hint="eastAsia"/>
        </w:rPr>
        <w:t>の提供</w:t>
      </w:r>
      <w:r w:rsidR="00455142">
        <w:rPr>
          <w:rFonts w:hint="eastAsia"/>
        </w:rPr>
        <w:t>自粛</w:t>
      </w:r>
      <w:r w:rsidR="006F1A7C">
        <w:rPr>
          <w:rFonts w:hint="eastAsia"/>
        </w:rPr>
        <w:t>、</w:t>
      </w:r>
      <w:r w:rsidR="0081798D">
        <w:rPr>
          <w:rFonts w:hint="eastAsia"/>
        </w:rPr>
        <w:t>カラオケ設備利用の自粛</w:t>
      </w:r>
      <w:r w:rsidR="006F1A7C">
        <w:rPr>
          <w:rFonts w:hint="eastAsia"/>
        </w:rPr>
        <w:t>、収容率・人数上限の制限等</w:t>
      </w:r>
      <w:r w:rsidR="0081798D">
        <w:rPr>
          <w:rFonts w:hint="eastAsia"/>
        </w:rPr>
        <w:t>に協力し、</w:t>
      </w:r>
      <w:r w:rsidR="00950928">
        <w:rPr>
          <w:rFonts w:hint="eastAsia"/>
        </w:rPr>
        <w:t>要請等の対象施設で</w:t>
      </w:r>
      <w:r w:rsidR="0081798D">
        <w:rPr>
          <w:rFonts w:hint="eastAsia"/>
        </w:rPr>
        <w:t>雇用する労働者の休業等を行った場合</w:t>
      </w:r>
      <w:bookmarkStart w:id="0" w:name="_GoBack"/>
      <w:bookmarkEnd w:id="0"/>
    </w:p>
    <w:p w:rsidR="00EC4905" w:rsidRDefault="006F1A7C" w:rsidP="00BD03DD">
      <w:pPr>
        <w:spacing w:beforeLines="50" w:before="217"/>
        <w:ind w:leftChars="100" w:left="320" w:firstLineChars="100" w:firstLine="320"/>
      </w:pPr>
      <w:r>
        <w:rPr>
          <w:noProof/>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318135</wp:posOffset>
                </wp:positionV>
                <wp:extent cx="5819775" cy="1181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19775" cy="1181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FEE69" id="正方形/長方形 2" o:spid="_x0000_s1026" style="position:absolute;left:0;text-align:left;margin-left:-1.15pt;margin-top:25.05pt;width:458.25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" filled="f" strokecolor="black [3213]" strokeweight="1pt"/>
            </w:pict>
          </mc:Fallback>
        </mc:AlternateContent>
      </w:r>
    </w:p>
    <w:p w:rsidR="00EC4905" w:rsidRPr="006F1A7C" w:rsidRDefault="00EC4905" w:rsidP="006F1A7C">
      <w:pPr>
        <w:spacing w:line="400" w:lineRule="exact"/>
        <w:ind w:leftChars="100" w:left="320" w:firstLineChars="100" w:firstLine="280"/>
        <w:rPr>
          <w:sz w:val="28"/>
        </w:rPr>
      </w:pPr>
      <w:r w:rsidRPr="006F1A7C">
        <w:rPr>
          <w:rFonts w:hint="eastAsia"/>
          <w:sz w:val="28"/>
        </w:rPr>
        <w:t>ご不明な点は、下記のコールセンターまでお問い合わせください。</w:t>
      </w:r>
    </w:p>
    <w:p w:rsidR="006F1A7C" w:rsidRPr="006F1A7C" w:rsidRDefault="006F1A7C" w:rsidP="006F1A7C">
      <w:pPr>
        <w:spacing w:line="400" w:lineRule="exact"/>
        <w:ind w:leftChars="100" w:left="320"/>
        <w:rPr>
          <w:sz w:val="28"/>
        </w:rPr>
      </w:pPr>
      <w:r w:rsidRPr="006F1A7C">
        <w:rPr>
          <w:rFonts w:hint="eastAsia"/>
          <w:sz w:val="28"/>
        </w:rPr>
        <w:t>学校等休業助成金・支援金、雇用調整助成金相談コールセンター</w:t>
      </w:r>
    </w:p>
    <w:p w:rsidR="006F1A7C" w:rsidRDefault="006F1A7C" w:rsidP="006F1A7C">
      <w:pPr>
        <w:spacing w:line="400" w:lineRule="exact"/>
        <w:ind w:leftChars="100" w:left="320" w:firstLineChars="100" w:firstLine="280"/>
        <w:rPr>
          <w:sz w:val="28"/>
        </w:rPr>
      </w:pPr>
      <w:r w:rsidRPr="006F1A7C">
        <w:rPr>
          <w:sz w:val="28"/>
        </w:rPr>
        <w:t>0120－60－3999</w:t>
      </w:r>
    </w:p>
    <w:p w:rsidR="006F1A7C" w:rsidRPr="006F1A7C" w:rsidRDefault="006F1A7C" w:rsidP="006F1A7C">
      <w:pPr>
        <w:spacing w:line="400" w:lineRule="exact"/>
        <w:ind w:leftChars="100" w:left="320" w:firstLineChars="100" w:firstLine="280"/>
        <w:rPr>
          <w:sz w:val="28"/>
        </w:rPr>
      </w:pPr>
      <w:r w:rsidRPr="006F1A7C">
        <w:rPr>
          <w:sz w:val="28"/>
        </w:rPr>
        <w:t>受付時間：9：00～21：00（土日・祝日含む）</w:t>
      </w:r>
    </w:p>
    <w:sectPr w:rsidR="006F1A7C" w:rsidRPr="006F1A7C" w:rsidSect="00A44059">
      <w:pgSz w:w="11906" w:h="16838" w:code="9"/>
      <w:pgMar w:top="1134" w:right="1418" w:bottom="1134" w:left="141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09"/>
    <w:rsid w:val="00123D3F"/>
    <w:rsid w:val="001C7CF2"/>
    <w:rsid w:val="001F4861"/>
    <w:rsid w:val="002649E0"/>
    <w:rsid w:val="00383438"/>
    <w:rsid w:val="004073F7"/>
    <w:rsid w:val="00452B7E"/>
    <w:rsid w:val="00455142"/>
    <w:rsid w:val="004750E3"/>
    <w:rsid w:val="00550E74"/>
    <w:rsid w:val="0057734B"/>
    <w:rsid w:val="00626E41"/>
    <w:rsid w:val="006F1A7C"/>
    <w:rsid w:val="0081798D"/>
    <w:rsid w:val="00862F2D"/>
    <w:rsid w:val="00911CE7"/>
    <w:rsid w:val="00950928"/>
    <w:rsid w:val="00957AF6"/>
    <w:rsid w:val="009A0A91"/>
    <w:rsid w:val="00A0190C"/>
    <w:rsid w:val="00A44059"/>
    <w:rsid w:val="00A44A09"/>
    <w:rsid w:val="00AB28FE"/>
    <w:rsid w:val="00AC1934"/>
    <w:rsid w:val="00BA1789"/>
    <w:rsid w:val="00BD03DD"/>
    <w:rsid w:val="00C1566E"/>
    <w:rsid w:val="00CF3E83"/>
    <w:rsid w:val="00D35B07"/>
    <w:rsid w:val="00D60471"/>
    <w:rsid w:val="00DA032B"/>
    <w:rsid w:val="00E068FF"/>
    <w:rsid w:val="00EB0564"/>
    <w:rsid w:val="00EC4905"/>
    <w:rsid w:val="00ED6D58"/>
    <w:rsid w:val="00F3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EA933"/>
  <w15:chartTrackingRefBased/>
  <w15:docId w15:val="{71FACFA1-36D5-4B68-A96D-EAE1596A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09"/>
    <w:pPr>
      <w:widowControl w:val="0"/>
      <w:jc w:val="both"/>
    </w:pPr>
    <w:rPr>
      <w:rFonts w:ascii="HG丸ｺﾞｼｯｸM-PRO" w:eastAsia="HG丸ｺﾞｼｯｸM-PR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E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E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貴章</dc:creator>
  <cp:keywords/>
  <dc:description/>
  <cp:lastModifiedBy>中野　貴章</cp:lastModifiedBy>
  <cp:revision>18</cp:revision>
  <cp:lastPrinted>2021-05-14T10:21:00Z</cp:lastPrinted>
  <dcterms:created xsi:type="dcterms:W3CDTF">2021-05-14T08:04:00Z</dcterms:created>
  <dcterms:modified xsi:type="dcterms:W3CDTF">2021-05-14T10:36:00Z</dcterms:modified>
</cp:coreProperties>
</file>