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4"/>
      </w:tblGrid>
      <w:tr w:rsidR="00633C09" w:rsidRPr="007409CA" w:rsidTr="00A4008B">
        <w:trPr>
          <w:jc w:val="center"/>
        </w:trPr>
        <w:tc>
          <w:tcPr>
            <w:tcW w:w="9434" w:type="dxa"/>
          </w:tcPr>
          <w:p w:rsidR="00C06D0B" w:rsidRPr="00C06D0B" w:rsidRDefault="00C06D0B" w:rsidP="00C06D0B">
            <w:pPr>
              <w:pStyle w:val="af4"/>
              <w:numPr>
                <w:ilvl w:val="0"/>
                <w:numId w:val="4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0713F5">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2"/>
      </w:tblGrid>
      <w:tr w:rsidR="00633C09" w:rsidRPr="007409CA" w:rsidTr="008329E4">
        <w:trPr>
          <w:trHeight w:val="1463"/>
          <w:jc w:val="center"/>
        </w:trPr>
        <w:tc>
          <w:tcPr>
            <w:tcW w:w="9292" w:type="dxa"/>
          </w:tcPr>
          <w:p w:rsidR="00C06D0B" w:rsidRPr="00C06D0B" w:rsidRDefault="00C06D0B" w:rsidP="00C06D0B">
            <w:pPr>
              <w:pStyle w:val="af4"/>
              <w:keepNext/>
              <w:numPr>
                <w:ilvl w:val="0"/>
                <w:numId w:val="4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lastRenderedPageBreak/>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F799B">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本事業の実施期間を通じて責任をもって試作品等の開発に直接従事する者（原則として補助事業者と雇用関係が結ばれている者に限る。）の試作品等の開発業務に係る時間に対応する人件費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C06D0B">
              <w:rPr>
                <w:rFonts w:ascii="ＭＳ ゴシック" w:hAnsi="ＭＳ ゴシック" w:hint="eastAsia"/>
                <w:spacing w:val="2"/>
                <w:sz w:val="22"/>
                <w:szCs w:val="22"/>
                <w:u w:val="single"/>
              </w:rPr>
              <w:t>設備投資のみの場合は対象となりません</w:t>
            </w:r>
            <w:r w:rsidRPr="00C06D0B">
              <w:rPr>
                <w:rFonts w:ascii="ＭＳ ゴシック" w:hAnsi="ＭＳ ゴシック" w:hint="eastAsia"/>
                <w:spacing w:val="2"/>
                <w:sz w:val="22"/>
                <w:szCs w:val="22"/>
              </w:rPr>
              <w:t>）</w:t>
            </w:r>
            <w:r w:rsidR="00104141">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4"/>
      </w:tblGrid>
      <w:tr w:rsidR="00633C09" w:rsidRPr="007409CA" w:rsidTr="00A4008B">
        <w:trPr>
          <w:jc w:val="center"/>
        </w:trPr>
        <w:tc>
          <w:tcPr>
            <w:tcW w:w="9354" w:type="dxa"/>
          </w:tcPr>
          <w:p w:rsidR="00C06D0B" w:rsidRPr="00C06D0B" w:rsidRDefault="00C06D0B" w:rsidP="00C06D0B">
            <w:pPr>
              <w:pStyle w:val="af4"/>
              <w:numPr>
                <w:ilvl w:val="0"/>
                <w:numId w:val="48"/>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w:t>
      </w:r>
      <w:r w:rsidRPr="003D49FD">
        <w:rPr>
          <w:rFonts w:asciiTheme="minorEastAsia" w:eastAsiaTheme="minorEastAsia" w:hAnsiTheme="minorEastAsia" w:cs="ＭＳ 明朝" w:hint="eastAsia"/>
          <w:kern w:val="0"/>
          <w:sz w:val="22"/>
        </w:rPr>
        <w:lastRenderedPageBreak/>
        <w:t>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）技術導入費支出対象者には、専門家謝金、外注加工費</w:t>
      </w:r>
      <w:r w:rsidR="00104141">
        <w:rPr>
          <w:rFonts w:asciiTheme="minorEastAsia" w:eastAsiaTheme="minorEastAsia" w:hAnsiTheme="minorEastAsia" w:cs="ＭＳ 明朝" w:hint="eastAsia"/>
          <w:kern w:val="0"/>
          <w:sz w:val="22"/>
        </w:rPr>
        <w:t>及び</w:t>
      </w:r>
      <w:r w:rsidRPr="003D49FD">
        <w:rPr>
          <w:rFonts w:asciiTheme="minorEastAsia" w:eastAsiaTheme="minorEastAsia" w:hAnsiTheme="minorEastAsia" w:cs="ＭＳ 明朝" w:hint="eastAsia"/>
          <w:kern w:val="0"/>
          <w:sz w:val="22"/>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573FC7">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C06D0B">
              <w:rPr>
                <w:rFonts w:asciiTheme="majorEastAsia" w:eastAsiaTheme="majorEastAsia" w:hAnsiTheme="majorEastAsia" w:cs="ＭＳ 明朝" w:hint="eastAsia"/>
                <w:kern w:val="0"/>
                <w:sz w:val="22"/>
                <w:szCs w:val="21"/>
                <w:u w:val="single"/>
              </w:rPr>
              <w:t>設備投資のみの場合は、対象となりません</w:t>
            </w:r>
            <w:r w:rsidRPr="00C06D0B">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C06D0B">
        <w:rPr>
          <w:rFonts w:asciiTheme="minorEastAsia" w:eastAsiaTheme="minorEastAsia" w:hAnsiTheme="minorEastAsia" w:hint="eastAsia"/>
          <w:spacing w:val="2"/>
          <w:sz w:val="22"/>
          <w:szCs w:val="22"/>
        </w:rPr>
        <w:t>外注加工費と委託費の合計額は、補助対象経費</w:t>
      </w:r>
      <w:r w:rsidR="00062EA1">
        <w:rPr>
          <w:rFonts w:asciiTheme="minorEastAsia" w:eastAsiaTheme="minorEastAsia" w:hAnsiTheme="minorEastAsia" w:hint="eastAsia"/>
          <w:spacing w:val="2"/>
          <w:sz w:val="22"/>
          <w:szCs w:val="22"/>
        </w:rPr>
        <w:t>総額</w:t>
      </w:r>
      <w:r w:rsidR="00C06D0B" w:rsidRPr="00C06D0B">
        <w:rPr>
          <w:rFonts w:asciiTheme="minorEastAsia" w:eastAsiaTheme="minorEastAsia" w:hAnsiTheme="minorEastAsia" w:hint="eastAsia"/>
          <w:spacing w:val="2"/>
          <w:sz w:val="22"/>
          <w:szCs w:val="22"/>
        </w:rPr>
        <w:t>（税抜き）の２分の１を上限とします。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2"/>
      </w:tblGrid>
      <w:tr w:rsidR="00633C09" w:rsidRPr="00D06640" w:rsidTr="00A4008B">
        <w:trPr>
          <w:jc w:val="center"/>
        </w:trPr>
        <w:tc>
          <w:tcPr>
            <w:tcW w:w="9292" w:type="dxa"/>
          </w:tcPr>
          <w:p w:rsidR="00C06D0B" w:rsidRPr="00C06D0B" w:rsidRDefault="00C06D0B" w:rsidP="00C06D0B">
            <w:pPr>
              <w:pStyle w:val="af4"/>
              <w:numPr>
                <w:ilvl w:val="0"/>
                <w:numId w:val="48"/>
              </w:numPr>
              <w:ind w:leftChars="0"/>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）委託</w:t>
      </w:r>
      <w:r w:rsidR="00E111C2">
        <w:rPr>
          <w:rFonts w:asciiTheme="minorEastAsia" w:eastAsiaTheme="minorEastAsia" w:hAnsiTheme="minorEastAsia" w:cs="ＭＳ 明朝" w:hint="eastAsia"/>
          <w:kern w:val="0"/>
          <w:sz w:val="22"/>
        </w:rPr>
        <w:t>費</w:t>
      </w:r>
      <w:r>
        <w:rPr>
          <w:rFonts w:asciiTheme="minorEastAsia" w:eastAsiaTheme="minorEastAsia" w:hAnsiTheme="minorEastAsia" w:cs="ＭＳ 明朝" w:hint="eastAsia"/>
          <w:kern w:val="0"/>
          <w:sz w:val="22"/>
        </w:rPr>
        <w:t>と</w:t>
      </w:r>
      <w:r w:rsidRPr="001A2A50">
        <w:rPr>
          <w:rFonts w:asciiTheme="minorEastAsia" w:eastAsiaTheme="minorEastAsia" w:hAnsiTheme="minorEastAsia" w:hint="eastAsia"/>
          <w:spacing w:val="2"/>
          <w:sz w:val="22"/>
          <w:szCs w:val="22"/>
        </w:rPr>
        <w:t>外注加工費の合計額は、補助対象経費</w:t>
      </w:r>
      <w:r w:rsidR="00062EA1">
        <w:rPr>
          <w:rFonts w:asciiTheme="minorEastAsia" w:eastAsiaTheme="minorEastAsia" w:hAnsiTheme="minorEastAsia" w:hint="eastAsia"/>
          <w:spacing w:val="2"/>
          <w:sz w:val="22"/>
          <w:szCs w:val="22"/>
        </w:rPr>
        <w:t>総額</w:t>
      </w:r>
      <w:r w:rsidRPr="001A2A50">
        <w:rPr>
          <w:rFonts w:asciiTheme="minorEastAsia" w:eastAsiaTheme="minorEastAsia" w:hAnsiTheme="minorEastAsia" w:hint="eastAsia"/>
          <w:spacing w:val="2"/>
          <w:sz w:val="22"/>
          <w:szCs w:val="22"/>
        </w:rPr>
        <w:t>（税抜き）の２分の１を上限とします。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）委託先には、技術導入費、専門家謝金を併せて支払うことはできません。</w:t>
      </w:r>
    </w:p>
    <w:p w:rsidR="00633C09" w:rsidRPr="007409CA" w:rsidRDefault="00B70351" w:rsidP="00633C09">
      <w:pPr>
        <w:textAlignment w:val="baseline"/>
        <w:rPr>
          <w:rFonts w:ascii="ＭＳ ゴシック" w:hAnsi="ＭＳ ゴシック" w:cs="ＭＳ 明朝"/>
          <w:kern w:val="0"/>
          <w:sz w:val="22"/>
        </w:rPr>
      </w:pPr>
      <w:r w:rsidRPr="00B70351">
        <w:rPr>
          <w:rFonts w:ascii="ＭＳ ゴシック" w:hAnsi="ＭＳ ゴシック"/>
          <w:noProof/>
        </w:rPr>
        <w:pict>
          <v:rect id="正方形/長方形 2" o:spid="_x0000_s1054" style="position:absolute;left:0;text-align:left;margin-left:9.15pt;margin-top:8.4pt;width:465pt;height:10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HRQIAAFkEAAAOAAAAZHJzL2Uyb0RvYy54bWysVMGO0zAQvSPxD5bvNGnaQhs1Xa26FCEt&#10;sNLCBziOk1g4thm7TZb/YD8AzpwRBz6HlfgLJk5busAJkYPl8YyfZ96byfKsaxTZCXDS6IyORzEl&#10;QnNTSF1l9M3rzaM5Jc4zXTBltMjojXD0bPXwwbK1qUhMbVQhgCCIdmlrM1p7b9MocrwWDXMjY4VG&#10;Z2mgYR5NqKICWIvojYqSOH4ctQYKC4YL5/D0YnDSVcAvS8H9q7J0whOVUczNhxXCmvdrtFqytAJm&#10;a8n3abB/yKJhUuOjR6gL5hnZgvwDqpEcjDOlH3HTRKYsJRehBqxmHP9WzXXNrAi1IDnOHmly/w+W&#10;v9xdAZFFRqdjSjRrUKO7z5/ubr9+//Yx+vHhy7AjSc9Ua12KF67tFfS1Ontp+FtHtFnXTFfiHMC0&#10;tWAF5jfu46N7F3rD4VWSty9Mge+wrTeBtK6EpgdEOkgXtLk5aiM6TzgezhbxbBajhBx948k0mSyC&#10;ehFLD9ctOP9MmIb0m4wCih/g2e7S+T4dlh5CQvpGyWIjlQoGVPlaAdkxbJRN+EIFWOVpmNKkzehi&#10;lswC8j2fO4WIw/c3iEZ67Hglm4zOj0Es7Xl7qovQj55JNewxZaX3RPbcDRr4Lu+CZpPFQZbcFDdI&#10;LZihw3EicVMbeE9Ji92dUfduy0BQop5rlOfJNFnMcByCMZ8jlQROHfmJg2mOQBn1lAzbtR8GaGtB&#10;VjW+Mw5kaHOOgpYyUN2LPeS0zx77Nyiwn7V+QE7tEPXrj7D6CQAA//8DAFBLAwQUAAYACAAAACEA&#10;2a4WCtoAAAAJAQAADwAAAGRycy9kb3ducmV2LnhtbExPy07DMBC8I/EP1iJxow6mVCHEqQCJI6CW&#10;qmcnXpKo9jqK3TT9e7YnOK1mZzSPcj17JyYcYx9Iw/0iA4HUBNtTq2H3/X6Xg4jJkDUuEGo4Y4R1&#10;dX1VmsKGE21w2qZWsAnFwmjoUhoKKWPToTdxEQYk5n7C6E1iOLbSjubE5t5JlWUr6U1PnNCZAd86&#10;bA7bo9eQf6l26YJ/3X8+HtJHfZ6INlLr25v55RlEwjn9ieFSn6tDxZ3qcCQbhWOcP7CS74oXMP+0&#10;vDxqDUrlCmRVyv8Lql8AAAD//wMAUEsBAi0AFAAGAAgAAAAhALaDOJL+AAAA4QEAABMAAAAAAAAA&#10;AAAAAAAAAAAAAFtDb250ZW50X1R5cGVzXS54bWxQSwECLQAUAAYACAAAACEAOP0h/9YAAACUAQAA&#10;CwAAAAAAAAAAAAAAAAAvAQAAX3JlbHMvLnJlbHNQSwECLQAUAAYACAAAACEAftgDR0UCAABZBAAA&#10;DgAAAAAAAAAAAAAAAAAuAgAAZHJzL2Uyb0RvYy54bWxQSwECLQAUAAYACAAAACEA2a4WCtoAAAAJ&#10;AQAADwAAAAAAAAAAAAAAAACfBAAAZHJzL2Rvd25yZXYueG1sUEsFBgAAAAAEAAQA8wAAAKYFAAAA&#10;AA==&#10;">
            <v:textbox inset="5.85pt,.7pt,5.85pt,.7pt">
              <w:txbxContent>
                <w:p w:rsidR="00EB48C0" w:rsidRPr="00086F59" w:rsidRDefault="00EB48C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EB48C0" w:rsidRPr="00086F59" w:rsidRDefault="00EB48C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EB48C0" w:rsidRPr="00086F59" w:rsidRDefault="00EB48C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EB48C0" w:rsidRPr="00086F59" w:rsidRDefault="00EB48C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EB48C0" w:rsidRPr="00086F59" w:rsidRDefault="00EB48C0"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Default="00633C09" w:rsidP="00633C09">
      <w:pPr>
        <w:textAlignment w:val="baseline"/>
        <w:rPr>
          <w:rFonts w:ascii="ＭＳ ゴシック" w:hAnsi="ＭＳ ゴシック" w:cs="ＭＳ 明朝"/>
          <w:kern w:val="0"/>
          <w:sz w:val="22"/>
        </w:rPr>
      </w:pPr>
    </w:p>
    <w:p w:rsidR="00375B68" w:rsidRPr="007409CA" w:rsidRDefault="00375B68"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lastRenderedPageBreak/>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C06D0B">
              <w:rPr>
                <w:rFonts w:asciiTheme="majorEastAsia" w:eastAsiaTheme="majorEastAsia" w:hAnsiTheme="majorEastAsia" w:hint="eastAsia"/>
                <w:spacing w:val="2"/>
                <w:sz w:val="22"/>
                <w:szCs w:val="22"/>
                <w:u w:val="single"/>
              </w:rPr>
              <w:t>設備投資のみの場合は対象となりません</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633C09" w:rsidRPr="003D49FD"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 （注</w:t>
      </w:r>
      <w:r w:rsidR="004A6BF1">
        <w:rPr>
          <w:rFonts w:asciiTheme="minorEastAsia" w:eastAsiaTheme="minorEastAsia" w:hAnsiTheme="minorEastAsia" w:cs="ＭＳ 明朝" w:hint="eastAsia"/>
          <w:kern w:val="0"/>
          <w:sz w:val="22"/>
        </w:rPr>
        <w:t>５</w:t>
      </w:r>
      <w:r w:rsidR="00633C09"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4A6BF1" w:rsidRPr="007409CA" w:rsidRDefault="004A6BF1" w:rsidP="004A6BF1">
      <w:pPr>
        <w:widowControl/>
        <w:jc w:val="left"/>
        <w:rPr>
          <w:rFonts w:ascii="ＭＳ ゴシック" w:hAnsi="ＭＳ ゴシック" w:cs="ＭＳ 明朝"/>
          <w:kern w:val="0"/>
          <w:sz w:val="22"/>
        </w:rPr>
      </w:pP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633C09" w:rsidRDefault="00C46219" w:rsidP="00C4621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C46219">
        <w:rPr>
          <w:rFonts w:asciiTheme="minorEastAsia" w:eastAsiaTheme="minorEastAsia" w:hAnsiTheme="minorEastAsia" w:cs="ＭＳ 明朝" w:hint="eastAsia"/>
          <w:spacing w:val="15"/>
          <w:w w:val="80"/>
          <w:kern w:val="0"/>
          <w:sz w:val="22"/>
          <w:szCs w:val="22"/>
          <w:fitText w:val="440" w:id="617276930"/>
        </w:rPr>
        <w:t>注1</w:t>
      </w:r>
      <w:r w:rsidRPr="00C46219">
        <w:rPr>
          <w:rFonts w:asciiTheme="minorEastAsia" w:eastAsiaTheme="minorEastAsia" w:hAnsiTheme="minorEastAsia" w:cs="ＭＳ 明朝" w:hint="eastAsia"/>
          <w:spacing w:val="-15"/>
          <w:w w:val="80"/>
          <w:kern w:val="0"/>
          <w:sz w:val="22"/>
          <w:szCs w:val="22"/>
          <w:fitText w:val="440" w:id="617276930"/>
        </w:rPr>
        <w:t>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w:t>
      </w:r>
      <w:r w:rsidRPr="003D49FD">
        <w:rPr>
          <w:rFonts w:asciiTheme="minorEastAsia" w:eastAsiaTheme="minorEastAsia" w:hAnsiTheme="minorEastAsia" w:cs="ＭＳ 明朝" w:hint="eastAsia"/>
          <w:kern w:val="0"/>
          <w:sz w:val="22"/>
          <w:szCs w:val="22"/>
        </w:rPr>
        <w:lastRenderedPageBreak/>
        <w:t>領収書等宿泊を証するものを添付してください。</w:t>
      </w:r>
    </w:p>
    <w:p w:rsidR="00C46219" w:rsidRPr="007409CA" w:rsidRDefault="00C46219" w:rsidP="00C46219">
      <w:pPr>
        <w:ind w:left="660" w:hangingChars="300" w:hanging="660"/>
        <w:textAlignment w:val="baseline"/>
        <w:rPr>
          <w:rFonts w:ascii="ＭＳ ゴシック" w:hAnsi="ＭＳ ゴシック" w:cs="ＭＳ 明朝"/>
          <w:kern w:val="0"/>
          <w:sz w:val="22"/>
        </w:rPr>
      </w:pPr>
    </w:p>
    <w:tbl>
      <w:tblPr>
        <w:tblpPr w:leftFromText="142" w:rightFromText="142" w:vertAnchor="text" w:horzAnchor="margin" w:tblpX="250" w:tblpY="10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C46219" w:rsidRPr="007409CA" w:rsidTr="00C46219">
        <w:tc>
          <w:tcPr>
            <w:tcW w:w="9464" w:type="dxa"/>
          </w:tcPr>
          <w:p w:rsidR="00C46219" w:rsidRPr="00C42C34" w:rsidRDefault="00C46219" w:rsidP="00C46219">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C46219" w:rsidRPr="00037EFA" w:rsidRDefault="00C46219" w:rsidP="00C46219">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C06D0B">
              <w:rPr>
                <w:rFonts w:asciiTheme="majorEastAsia" w:eastAsiaTheme="majorEastAsia" w:hAnsiTheme="majorEastAsia" w:cs="ＭＳ 明朝" w:hint="eastAsia"/>
                <w:kern w:val="0"/>
                <w:sz w:val="22"/>
                <w:u w:val="single"/>
              </w:rPr>
              <w:t>設備投資のみの場合は、対象となりません</w:t>
            </w:r>
            <w:r w:rsidRPr="00C06D0B">
              <w:rPr>
                <w:rFonts w:asciiTheme="majorEastAsia" w:eastAsiaTheme="majorEastAsia" w:hAnsiTheme="majorEastAsia" w:cs="ＭＳ 明朝" w:hint="eastAsia"/>
                <w:kern w:val="0"/>
                <w:sz w:val="22"/>
              </w:rPr>
              <w:t>）。</w:t>
            </w:r>
          </w:p>
        </w:tc>
      </w:tr>
    </w:tbl>
    <w:p w:rsidR="00C46219" w:rsidRDefault="00C46219" w:rsidP="00633C09">
      <w:pPr>
        <w:ind w:left="660" w:hangingChars="300" w:hanging="660"/>
        <w:jc w:val="left"/>
        <w:rPr>
          <w:rFonts w:asciiTheme="minorEastAsia" w:eastAsiaTheme="minorEastAsia" w:hAnsiTheme="minorEastAsia"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4141A3">
      <w:pPr>
        <w:autoSpaceDE w:val="0"/>
        <w:autoSpaceDN w:val="0"/>
        <w:spacing w:afterLines="50"/>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発注に際しては、見積書提出のお願い</w:t>
      </w:r>
      <w:r w:rsidR="001C42FC">
        <w:rPr>
          <w:rFonts w:asciiTheme="minorEastAsia" w:eastAsiaTheme="minorEastAsia" w:hAnsiTheme="minorEastAsia" w:cs="ＭＳ 明朝" w:hint="eastAsia"/>
          <w:kern w:val="0"/>
          <w:sz w:val="22"/>
          <w:szCs w:val="22"/>
        </w:rPr>
        <w:t>（外注加工費、委託費を支出する場合</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Pr>
          <w:rFonts w:asciiTheme="minorEastAsia" w:eastAsiaTheme="minorEastAsia" w:hAnsiTheme="minorEastAsia" w:cs="ＭＳ 明朝" w:hint="eastAsia"/>
          <w:sz w:val="22"/>
          <w:szCs w:val="22"/>
        </w:rPr>
        <w:t>支払</w:t>
      </w:r>
      <w:r w:rsidR="00062EA1" w:rsidRPr="00B4076F">
        <w:rPr>
          <w:rFonts w:asciiTheme="minorEastAsia" w:eastAsiaTheme="minorEastAsia" w:hAnsiTheme="minorEastAsia" w:cs="ＭＳ 明朝" w:hint="eastAsia"/>
          <w:sz w:val="22"/>
          <w:szCs w:val="22"/>
        </w:rPr>
        <w:t>は原則銀行振込とし、それが困難な場合は現金による支払を行ってください。</w:t>
      </w:r>
    </w:p>
    <w:p w:rsidR="00C06D0B" w:rsidRDefault="007515F7" w:rsidP="00C06D0B">
      <w:pPr>
        <w:spacing w:line="276" w:lineRule="auto"/>
        <w:ind w:leftChars="100" w:left="430" w:hangingChars="100" w:hanging="220"/>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④　</w:t>
      </w:r>
      <w:r w:rsidR="00062EA1" w:rsidRPr="00B4076F">
        <w:rPr>
          <w:rFonts w:asciiTheme="minorEastAsia" w:eastAsiaTheme="minorEastAsia" w:hAnsiTheme="minorEastAsia" w:cs="ＭＳ 明朝" w:hint="eastAsia"/>
          <w:sz w:val="22"/>
          <w:szCs w:val="22"/>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375B68" w:rsidRDefault="00375B68" w:rsidP="00633C09">
      <w:pPr>
        <w:spacing w:line="276" w:lineRule="auto"/>
        <w:ind w:leftChars="100" w:left="430" w:hangingChars="100" w:hanging="220"/>
        <w:jc w:val="left"/>
        <w:rPr>
          <w:rFonts w:asciiTheme="minorEastAsia" w:eastAsiaTheme="minorEastAsia" w:hAnsiTheme="minorEastAsia"/>
          <w:sz w:val="22"/>
          <w:szCs w:val="22"/>
        </w:rPr>
      </w:pPr>
    </w:p>
    <w:p w:rsidR="00633C09" w:rsidRPr="00D06640"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lastRenderedPageBreak/>
        <w:t>⑦</w:t>
      </w:r>
      <w:r w:rsidR="00633C09" w:rsidRPr="00D06640">
        <w:rPr>
          <w:rFonts w:asciiTheme="minorEastAsia" w:eastAsiaTheme="minorEastAsia" w:hAnsiTheme="minorEastAsia" w:hint="eastAsia"/>
          <w:sz w:val="22"/>
          <w:szCs w:val="22"/>
        </w:rPr>
        <w:t xml:space="preserve">　</w:t>
      </w:r>
      <w:r w:rsidR="00633C09" w:rsidRPr="00D06640">
        <w:rPr>
          <w:rFonts w:asciiTheme="minorEastAsia" w:eastAsiaTheme="minorEastAsia" w:hAnsiTheme="minorEastAsia" w:cs="ＭＳ 明朝" w:hint="eastAsia"/>
          <w:kern w:val="0"/>
          <w:sz w:val="22"/>
          <w:szCs w:val="22"/>
        </w:rPr>
        <w:t>直接人件費は、交付申請書に記載した</w:t>
      </w:r>
      <w:r w:rsidR="0094617A">
        <w:rPr>
          <w:rFonts w:asciiTheme="minorEastAsia" w:eastAsiaTheme="minorEastAsia" w:hAnsiTheme="minorEastAsia" w:cs="ＭＳ 明朝" w:hint="eastAsia"/>
          <w:kern w:val="0"/>
          <w:sz w:val="22"/>
          <w:szCs w:val="22"/>
        </w:rPr>
        <w:t>補助金額</w:t>
      </w:r>
      <w:r w:rsidR="00633C09" w:rsidRPr="00D06640">
        <w:rPr>
          <w:rFonts w:asciiTheme="minorEastAsia" w:eastAsiaTheme="minorEastAsia" w:hAnsiTheme="minorEastAsia" w:cs="ＭＳ 明朝" w:hint="eastAsia"/>
          <w:kern w:val="0"/>
          <w:sz w:val="22"/>
          <w:szCs w:val="22"/>
        </w:rPr>
        <w:t>が上限となります（直接人件費への流用は、計画変更申請を行った場合であってもできません）</w:t>
      </w:r>
      <w:r w:rsidR="0094617A">
        <w:rPr>
          <w:rFonts w:asciiTheme="minorEastAsia" w:eastAsiaTheme="minorEastAsia" w:hAnsiTheme="minorEastAsia" w:cs="ＭＳ 明朝" w:hint="eastAsia"/>
          <w:kern w:val="0"/>
          <w:sz w:val="22"/>
          <w:szCs w:val="22"/>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w:t>
      </w:r>
      <w:r w:rsidR="0094617A">
        <w:rPr>
          <w:rFonts w:asciiTheme="minorEastAsia" w:eastAsiaTheme="minorEastAsia" w:hAnsiTheme="minorEastAsia" w:cs="ＭＳ 明朝" w:hint="eastAsia"/>
          <w:kern w:val="0"/>
          <w:sz w:val="22"/>
          <w:szCs w:val="22"/>
        </w:rPr>
        <w:t>を</w:t>
      </w:r>
      <w:r w:rsidRPr="00D06640">
        <w:rPr>
          <w:rFonts w:asciiTheme="minorEastAsia" w:eastAsiaTheme="minorEastAsia" w:hAnsiTheme="minorEastAsia" w:cs="ＭＳ 明朝" w:hint="eastAsia"/>
          <w:kern w:val="0"/>
          <w:sz w:val="22"/>
          <w:szCs w:val="22"/>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補助金事業計画書、</w:t>
      </w:r>
      <w:r w:rsidRPr="00D06640">
        <w:rPr>
          <w:rFonts w:asciiTheme="minorEastAsia" w:eastAsiaTheme="minorEastAsia" w:hAnsiTheme="minorEastAsia" w:cs="ＭＳ 明朝" w:hint="eastAsia"/>
          <w:kern w:val="0"/>
          <w:sz w:val="22"/>
          <w:szCs w:val="22"/>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w:t>
      </w:r>
      <w:r w:rsidR="0045397A">
        <w:rPr>
          <w:rFonts w:asciiTheme="minorEastAsia" w:eastAsiaTheme="minorEastAsia" w:hAnsiTheme="minorEastAsia" w:hint="eastAsia"/>
          <w:sz w:val="22"/>
          <w:szCs w:val="22"/>
        </w:rPr>
        <w:t>等</w:t>
      </w:r>
      <w:r w:rsidRPr="003D49FD">
        <w:rPr>
          <w:rFonts w:asciiTheme="minorEastAsia" w:eastAsiaTheme="minorEastAsia" w:hAnsiTheme="minorEastAsia" w:hint="eastAsia"/>
          <w:sz w:val="22"/>
          <w:szCs w:val="22"/>
        </w:rPr>
        <w:t>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D06640">
        <w:rPr>
          <w:rFonts w:ascii="ＭＳ 明朝" w:hAnsi="ＭＳ 明朝" w:hint="eastAsia"/>
          <w:sz w:val="22"/>
          <w:szCs w:val="22"/>
        </w:rPr>
        <w:t>法定福利費を加算する</w:t>
      </w:r>
      <w:r w:rsidR="0045397A">
        <w:rPr>
          <w:rFonts w:ascii="ＭＳ 明朝" w:hAnsi="ＭＳ 明朝" w:hint="eastAsia"/>
          <w:sz w:val="22"/>
          <w:szCs w:val="22"/>
        </w:rPr>
        <w:t>ことも可能です。その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w:t>
      </w:r>
      <w:r w:rsidR="00875142">
        <w:rPr>
          <w:rFonts w:ascii="ＭＳ 明朝" w:hAnsi="ＭＳ 明朝" w:hint="eastAsia"/>
          <w:sz w:val="22"/>
          <w:szCs w:val="22"/>
        </w:rPr>
        <w:t>となりません</w:t>
      </w:r>
      <w:r w:rsidRPr="009059B2">
        <w:rPr>
          <w:rFonts w:ascii="ＭＳ 明朝" w:hAnsi="ＭＳ 明朝" w:hint="eastAsia"/>
          <w:sz w:val="22"/>
          <w:szCs w:val="22"/>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w:t>
      </w:r>
      <w:r w:rsidR="00023DFA">
        <w:rPr>
          <w:rFonts w:ascii="ＭＳ 明朝" w:hAnsi="ＭＳ 明朝" w:hint="eastAsia"/>
          <w:sz w:val="22"/>
          <w:szCs w:val="22"/>
        </w:rPr>
        <w:t>日</w:t>
      </w:r>
      <w:r w:rsidRPr="00D06640">
        <w:rPr>
          <w:rFonts w:ascii="ＭＳ 明朝" w:hAnsi="ＭＳ 明朝" w:hint="eastAsia"/>
          <w:sz w:val="22"/>
          <w:szCs w:val="22"/>
        </w:rPr>
        <w:t>40,000円以内であり、毎月の給与支払額となります。</w:t>
      </w:r>
    </w:p>
    <w:p w:rsidR="00C06D0B" w:rsidRPr="00C06D0B"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Pr>
          <w:rFonts w:asciiTheme="minorEastAsia" w:eastAsiaTheme="minorEastAsia" w:hAnsiTheme="minorEastAsia" w:hint="eastAsia"/>
          <w:sz w:val="22"/>
          <w:szCs w:val="22"/>
        </w:rPr>
        <w:t>時間単価</w:t>
      </w:r>
      <w:r w:rsidR="001C42FC">
        <w:rPr>
          <w:rFonts w:asciiTheme="minorEastAsia" w:eastAsiaTheme="minorEastAsia" w:hAnsiTheme="minorEastAsia" w:hint="eastAsia"/>
          <w:sz w:val="22"/>
          <w:szCs w:val="22"/>
        </w:rPr>
        <w:t>の</w:t>
      </w:r>
      <w:r w:rsidR="001C3EC6">
        <w:rPr>
          <w:rFonts w:asciiTheme="minorEastAsia" w:eastAsiaTheme="minorEastAsia" w:hAnsiTheme="minorEastAsia" w:hint="eastAsia"/>
          <w:sz w:val="22"/>
          <w:szCs w:val="22"/>
        </w:rPr>
        <w:t>算出にあたっては、賞与及び法定福利費</w:t>
      </w:r>
      <w:r w:rsidR="001C3EC6">
        <w:rPr>
          <w:rFonts w:asciiTheme="minorEastAsia" w:eastAsiaTheme="minorEastAsia" w:hAnsiTheme="minorEastAsia" w:cs="ＭＳ 明朝" w:hint="eastAsia"/>
          <w:kern w:val="0"/>
          <w:sz w:val="22"/>
          <w:szCs w:val="22"/>
        </w:rPr>
        <w:t>を</w:t>
      </w:r>
      <w:r w:rsidR="00C06D0B" w:rsidRPr="00C06D0B">
        <w:rPr>
          <w:rFonts w:asciiTheme="minorEastAsia" w:eastAsiaTheme="minorEastAsia" w:hAnsiTheme="minorEastAsia" w:cs="ＭＳ 明朝" w:hint="eastAsia"/>
          <w:kern w:val="0"/>
          <w:sz w:val="22"/>
          <w:szCs w:val="22"/>
        </w:rPr>
        <w:t>含め</w:t>
      </w:r>
      <w:r w:rsidR="001C42FC">
        <w:rPr>
          <w:rFonts w:asciiTheme="minorEastAsia" w:eastAsiaTheme="minorEastAsia" w:hAnsiTheme="minorEastAsia" w:cs="ＭＳ 明朝" w:hint="eastAsia"/>
          <w:kern w:val="0"/>
          <w:sz w:val="22"/>
          <w:szCs w:val="22"/>
        </w:rPr>
        <w:t>ることができ</w:t>
      </w:r>
      <w:r w:rsidR="001C3EC6">
        <w:rPr>
          <w:rFonts w:asciiTheme="minorEastAsia" w:eastAsiaTheme="minorEastAsia" w:hAnsiTheme="minorEastAsia" w:cs="ＭＳ 明朝" w:hint="eastAsia"/>
          <w:kern w:val="0"/>
          <w:sz w:val="22"/>
          <w:szCs w:val="22"/>
        </w:rPr>
        <w:t>るため、</w:t>
      </w:r>
      <w:r w:rsidR="001C42FC">
        <w:rPr>
          <w:rFonts w:asciiTheme="minorEastAsia" w:eastAsiaTheme="minorEastAsia" w:hAnsiTheme="minorEastAsia" w:cs="ＭＳ 明朝" w:hint="eastAsia"/>
          <w:kern w:val="0"/>
          <w:sz w:val="22"/>
          <w:szCs w:val="22"/>
        </w:rPr>
        <w:t>その対象者が</w:t>
      </w:r>
      <w:r w:rsidR="001C3EC6">
        <w:rPr>
          <w:rFonts w:asciiTheme="minorEastAsia" w:eastAsiaTheme="minorEastAsia" w:hAnsiTheme="minorEastAsia" w:cs="ＭＳ 明朝" w:hint="eastAsia"/>
          <w:kern w:val="0"/>
          <w:sz w:val="22"/>
          <w:szCs w:val="22"/>
        </w:rPr>
        <w:t>月内全て本事業に従事した場合、個人ごとの人件費が給与総支給額を超える可能性もあるが、人件費補助対象は</w:t>
      </w:r>
      <w:r w:rsidR="001C42FC">
        <w:rPr>
          <w:rFonts w:asciiTheme="minorEastAsia" w:eastAsiaTheme="minorEastAsia" w:hAnsiTheme="minorEastAsia" w:cs="ＭＳ 明朝" w:hint="eastAsia"/>
          <w:kern w:val="0"/>
          <w:sz w:val="22"/>
          <w:szCs w:val="22"/>
        </w:rPr>
        <w:t>月額の</w:t>
      </w:r>
      <w:r w:rsidR="001C3EC6">
        <w:rPr>
          <w:rFonts w:asciiTheme="minorEastAsia" w:eastAsiaTheme="minorEastAsia" w:hAnsiTheme="minorEastAsia" w:cs="ＭＳ 明朝" w:hint="eastAsia"/>
          <w:kern w:val="0"/>
          <w:sz w:val="22"/>
          <w:szCs w:val="22"/>
        </w:rPr>
        <w:t>給与総支給額</w:t>
      </w:r>
      <w:r w:rsidR="00C06D0B" w:rsidRPr="00C06D0B">
        <w:rPr>
          <w:rFonts w:asciiTheme="minorEastAsia" w:eastAsiaTheme="minorEastAsia" w:hAnsiTheme="minorEastAsia" w:cs="ＭＳ 明朝" w:hint="eastAsia"/>
          <w:kern w:val="0"/>
          <w:sz w:val="22"/>
          <w:szCs w:val="22"/>
        </w:rPr>
        <w:t>を</w:t>
      </w:r>
      <w:r w:rsidR="001C3EC6">
        <w:rPr>
          <w:rFonts w:asciiTheme="minorEastAsia" w:eastAsiaTheme="minorEastAsia" w:hAnsiTheme="minorEastAsia" w:cs="ＭＳ 明朝" w:hint="eastAsia"/>
          <w:kern w:val="0"/>
          <w:sz w:val="22"/>
          <w:szCs w:val="22"/>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Pr>
          <w:rFonts w:asciiTheme="minorEastAsia" w:eastAsiaTheme="minorEastAsia" w:hAnsiTheme="minorEastAsia" w:hint="eastAsia"/>
          <w:sz w:val="22"/>
          <w:szCs w:val="22"/>
        </w:rPr>
        <w:t>超過勤務手当・深夜勤務手当・休日出勤手当、</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w:t>
      </w:r>
      <w:r w:rsidR="00B90B20">
        <w:rPr>
          <w:rFonts w:ascii="ＭＳ ゴシック" w:hAnsi="ＭＳ ゴシック" w:cs="ＭＳ 明朝" w:hint="eastAsia"/>
          <w:sz w:val="22"/>
          <w:szCs w:val="22"/>
        </w:rPr>
        <w:t>６</w:t>
      </w:r>
      <w:r w:rsidRPr="007409CA">
        <w:rPr>
          <w:rFonts w:ascii="ＭＳ ゴシック" w:hAnsi="ＭＳ ゴシック" w:cs="ＭＳ 明朝" w:hint="eastAsia"/>
          <w:sz w:val="22"/>
          <w:szCs w:val="22"/>
        </w:rPr>
        <w:t>年</w:t>
      </w:r>
      <w:r w:rsidR="00B90B20">
        <w:rPr>
          <w:rFonts w:ascii="ＭＳ ゴシック" w:hAnsi="ＭＳ ゴシック" w:cs="ＭＳ 明朝" w:hint="eastAsia"/>
          <w:sz w:val="22"/>
          <w:szCs w:val="22"/>
        </w:rPr>
        <w:t>２</w:t>
      </w:r>
      <w:r w:rsidRPr="007409CA">
        <w:rPr>
          <w:rFonts w:ascii="ＭＳ ゴシック" w:hAnsi="ＭＳ ゴシック" w:cs="ＭＳ 明朝" w:hint="eastAsia"/>
          <w:sz w:val="22"/>
          <w:szCs w:val="22"/>
        </w:rPr>
        <w:t>月</w:t>
      </w:r>
      <w:r w:rsidR="00C46219">
        <w:rPr>
          <w:rFonts w:ascii="ＭＳ ゴシック" w:hAnsi="ＭＳ ゴシック" w:cs="ＭＳ 明朝" w:hint="eastAsia"/>
          <w:sz w:val="22"/>
          <w:szCs w:val="22"/>
        </w:rPr>
        <w:t>１７</w:t>
      </w:r>
      <w:r w:rsidRPr="007409CA">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C2493A" w:rsidRPr="00C2493A">
        <w:rPr>
          <w:rFonts w:ascii="ＭＳ ゴシック" w:hAnsi="ＭＳ ゴシック" w:cs="ＭＳ 明朝" w:hint="eastAsia"/>
          <w:sz w:val="22"/>
          <w:szCs w:val="22"/>
        </w:rPr>
        <w:t>石川県</w:t>
      </w:r>
      <w:r w:rsidRPr="00C2493A">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Ind w:w="57" w:type="dxa"/>
        <w:tblLayout w:type="fixed"/>
        <w:tblCellMar>
          <w:left w:w="57" w:type="dxa"/>
          <w:right w:w="57" w:type="dxa"/>
        </w:tblCellMar>
        <w:tblLook w:val="000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C2493A" w:rsidRPr="00C2493A">
        <w:rPr>
          <w:rFonts w:asciiTheme="minorEastAsia" w:eastAsiaTheme="minorEastAsia" w:hAnsiTheme="minorEastAsia" w:cs="ＭＳ 明朝" w:hint="eastAsia"/>
          <w:sz w:val="22"/>
          <w:szCs w:val="22"/>
        </w:rPr>
        <w:t>石川県</w:t>
      </w:r>
      <w:r w:rsidRPr="00C2493A">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平成２６年２月　　日</w:t>
      </w:r>
    </w:p>
    <w:p w:rsidR="00633C09" w:rsidRPr="005F0457" w:rsidRDefault="00C2493A" w:rsidP="00633C09">
      <w:pPr>
        <w:wordWrap w:val="0"/>
        <w:autoSpaceDE w:val="0"/>
        <w:autoSpaceDN w:val="0"/>
        <w:jc w:val="right"/>
        <w:rPr>
          <w:rFonts w:asciiTheme="majorEastAsia" w:eastAsiaTheme="majorEastAsia" w:hAnsiTheme="majorEastAsia" w:cs="ＭＳゴシック-WinCharSetFFFF-H"/>
          <w:sz w:val="22"/>
          <w:szCs w:val="22"/>
        </w:rPr>
      </w:pPr>
      <w:r w:rsidRPr="00C2493A">
        <w:rPr>
          <w:rFonts w:asciiTheme="majorEastAsia" w:eastAsiaTheme="majorEastAsia" w:hAnsiTheme="majorEastAsia" w:cs="ＭＳゴシック-WinCharSetFFFF-H" w:hint="eastAsia"/>
          <w:sz w:val="22"/>
          <w:szCs w:val="22"/>
        </w:rPr>
        <w:t>石川県</w:t>
      </w:r>
      <w:r w:rsidR="004A43D7" w:rsidRPr="00C2493A">
        <w:rPr>
          <w:rFonts w:asciiTheme="majorEastAsia" w:eastAsiaTheme="majorEastAsia" w:hAnsiTheme="majorEastAsia" w:cs="ＭＳゴシック-WinCharSetFFFF-H" w:hint="eastAsia"/>
          <w:sz w:val="22"/>
          <w:szCs w:val="22"/>
        </w:rPr>
        <w:t>地域事務局</w:t>
      </w:r>
      <w:r>
        <w:rPr>
          <w:rFonts w:asciiTheme="majorEastAsia" w:eastAsiaTheme="majorEastAsia" w:hAnsiTheme="majorEastAsia" w:cs="ＭＳゴシック-WinCharSetFFFF-H" w:hint="eastAsia"/>
          <w:sz w:val="22"/>
          <w:szCs w:val="22"/>
        </w:rPr>
        <w:t xml:space="preserve">　　</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C2493A" w:rsidRPr="00C2493A">
        <w:rPr>
          <w:rFonts w:asciiTheme="minorEastAsia" w:eastAsiaTheme="minorEastAsia" w:hAnsiTheme="minorEastAsia" w:cs="ＭＳゴシック-WinCharSetFFFF-H" w:hint="eastAsia"/>
          <w:sz w:val="22"/>
          <w:szCs w:val="22"/>
        </w:rPr>
        <w:t>石川県</w:t>
      </w:r>
      <w:r w:rsidR="00633C09" w:rsidRPr="00C2493A">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C06D0B" w:rsidRDefault="00C06D0B" w:rsidP="008D56ED">
      <w:pPr>
        <w:overflowPunct w:val="0"/>
        <w:adjustRightInd w:val="0"/>
        <w:jc w:val="left"/>
        <w:textAlignment w:val="baseline"/>
        <w:rPr>
          <w:szCs w:val="21"/>
        </w:rPr>
      </w:pPr>
    </w:p>
    <w:sectPr w:rsidR="00C06D0B" w:rsidSect="008D56ED">
      <w:footerReference w:type="default" r:id="rId8"/>
      <w:pgSz w:w="11906" w:h="16838" w:code="9"/>
      <w:pgMar w:top="1440" w:right="1077" w:bottom="1440" w:left="1077" w:header="720" w:footer="284" w:gutter="0"/>
      <w:pgNumType w:fmt="numberInDash" w:start="80"/>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C0" w:rsidRDefault="00EB48C0" w:rsidP="0006021F">
      <w:r>
        <w:separator/>
      </w:r>
    </w:p>
  </w:endnote>
  <w:endnote w:type="continuationSeparator" w:id="0">
    <w:p w:rsidR="00EB48C0" w:rsidRDefault="00EB48C0"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EB48C0" w:rsidRDefault="00B70351">
        <w:pPr>
          <w:pStyle w:val="a7"/>
          <w:jc w:val="center"/>
        </w:pPr>
        <w:fldSimple w:instr=" PAGE   \* MERGEFORMAT ">
          <w:r w:rsidR="008D56ED" w:rsidRPr="008D56ED">
            <w:rPr>
              <w:noProof/>
              <w:lang w:val="ja-JP"/>
            </w:rPr>
            <w:t>-</w:t>
          </w:r>
          <w:r w:rsidR="008D56ED">
            <w:rPr>
              <w:noProof/>
            </w:rPr>
            <w:t xml:space="preserve"> 80 -</w:t>
          </w:r>
        </w:fldSimple>
      </w:p>
    </w:sdtContent>
  </w:sdt>
  <w:p w:rsidR="00EB48C0" w:rsidRPr="006005AB" w:rsidRDefault="00EB48C0"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C0" w:rsidRDefault="00EB48C0" w:rsidP="0006021F">
      <w:r>
        <w:separator/>
      </w:r>
    </w:p>
  </w:footnote>
  <w:footnote w:type="continuationSeparator" w:id="0">
    <w:p w:rsidR="00EB48C0" w:rsidRDefault="00EB48C0"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02D"/>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0674"/>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18A0"/>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AD0"/>
    <w:rsid w:val="00401690"/>
    <w:rsid w:val="0040303F"/>
    <w:rsid w:val="004038CD"/>
    <w:rsid w:val="00403925"/>
    <w:rsid w:val="004049A2"/>
    <w:rsid w:val="00406537"/>
    <w:rsid w:val="00407150"/>
    <w:rsid w:val="00410BFF"/>
    <w:rsid w:val="00411809"/>
    <w:rsid w:val="00413C5B"/>
    <w:rsid w:val="00413E1F"/>
    <w:rsid w:val="004141A3"/>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1C53"/>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6FC"/>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47B"/>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0C33"/>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65B"/>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56F"/>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81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56ED"/>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8A7"/>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376E"/>
    <w:rsid w:val="00A8439D"/>
    <w:rsid w:val="00A849F4"/>
    <w:rsid w:val="00A8547A"/>
    <w:rsid w:val="00A85FF7"/>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A7CA3"/>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320"/>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184"/>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351"/>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93A"/>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219"/>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DF4"/>
    <w:rsid w:val="00C63A17"/>
    <w:rsid w:val="00C64862"/>
    <w:rsid w:val="00C6676E"/>
    <w:rsid w:val="00C67CDA"/>
    <w:rsid w:val="00C707A9"/>
    <w:rsid w:val="00C714C4"/>
    <w:rsid w:val="00C73158"/>
    <w:rsid w:val="00C7400A"/>
    <w:rsid w:val="00C74A2E"/>
    <w:rsid w:val="00C7522F"/>
    <w:rsid w:val="00C75ED1"/>
    <w:rsid w:val="00C75F93"/>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42A"/>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889"/>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160"/>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8C0"/>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3,4"/>
      <o:rules v:ext="edit">
        <o:r id="V:Rule8" type="connector" idref="#AutoShape 2707"/>
        <o:r id="V:Rule9" type="connector" idref="#直線矢印コネクタ 5"/>
        <o:r id="V:Rule10" type="connector" idref="#AutoShape 2654"/>
        <o:r id="V:Rule11" type="connector" idref="#AutoShape 2706"/>
        <o:r id="V:Rule12" type="connector" idref="#AutoShape 2709"/>
        <o:r id="V:Rule13" type="connector" idref="#AutoShape 2655"/>
        <o:r id="V:Rule14" type="connector" idref="#AutoShape 27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D4A3-1EAA-4398-B4A2-770F065C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1755</Words>
  <Characters>10004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11736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2014-05-09T02:18:00Z</dcterms:modified>
</cp:coreProperties>
</file>